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1E1A0FFD" w:rsidR="00930241" w:rsidRPr="009D6072" w:rsidRDefault="00930241" w:rsidP="00930241">
      <w:pPr>
        <w:jc w:val="right"/>
        <w:rPr>
          <w:rFonts w:ascii="Trebuchet MS" w:hAnsi="Trebuchet MS"/>
          <w:b/>
          <w:sz w:val="22"/>
          <w:szCs w:val="24"/>
          <w:lang w:val="ro-RO"/>
        </w:rPr>
      </w:pP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w:t>
      </w:r>
      <w:r w:rsidR="00CC4EC4" w:rsidRPr="009D6072">
        <w:rPr>
          <w:rFonts w:ascii="Trebuchet MS" w:hAnsi="Trebuchet MS" w:cs="Arial"/>
          <w:sz w:val="22"/>
          <w:szCs w:val="24"/>
          <w:lang w:val="ro-RO"/>
        </w:rPr>
        <w:lastRenderedPageBreak/>
        <w:t xml:space="preserve">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 xml:space="preserve">de la efectuarea plății </w:t>
      </w:r>
      <w:r w:rsidRPr="009D6072">
        <w:rPr>
          <w:rFonts w:ascii="Trebuchet MS" w:eastAsia="Arial" w:hAnsi="Trebuchet MS"/>
          <w:sz w:val="22"/>
          <w:szCs w:val="24"/>
          <w:lang w:val="ro-RO"/>
        </w:rPr>
        <w:lastRenderedPageBreak/>
        <w:t>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funcţie de necesităţi, pentru cazuri </w:t>
      </w:r>
      <w:r w:rsidR="009716BE" w:rsidRPr="009D6072">
        <w:rPr>
          <w:rFonts w:ascii="Trebuchet MS" w:eastAsia="Arial" w:hAnsi="Trebuchet MS"/>
          <w:sz w:val="22"/>
          <w:szCs w:val="24"/>
          <w:lang w:val="ro-RO"/>
        </w:rPr>
        <w:lastRenderedPageBreak/>
        <w:t>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w:t>
      </w:r>
      <w:r w:rsidR="00E060C8" w:rsidRPr="009D6072">
        <w:rPr>
          <w:rFonts w:ascii="Trebuchet MS" w:eastAsia="Arial" w:hAnsi="Trebuchet MS"/>
          <w:spacing w:val="-6"/>
          <w:sz w:val="22"/>
          <w:szCs w:val="24"/>
          <w:lang w:val="ro-RO"/>
        </w:rPr>
        <w:lastRenderedPageBreak/>
        <w:t xml:space="preserve">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w:t>
      </w:r>
      <w:r w:rsidR="00CD6B28" w:rsidRPr="009D6072">
        <w:rPr>
          <w:rFonts w:ascii="Trebuchet MS" w:eastAsia="Arial" w:hAnsi="Trebuchet MS"/>
          <w:sz w:val="22"/>
          <w:szCs w:val="22"/>
          <w:lang w:val="ro-RO"/>
        </w:rPr>
        <w:lastRenderedPageBreak/>
        <w:t xml:space="preserve">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r w:rsidR="00E5740B">
        <w:fldChar w:fldCharType="begin"/>
      </w:r>
      <w:r w:rsidR="00E5740B">
        <w:instrText xml:space="preserve"> HYPERLINK "https://legislatie.just.ro/Public/DetaliiDocumentAfis/155770" </w:instrText>
      </w:r>
      <w:r w:rsidR="00E5740B">
        <w:fldChar w:fldCharType="separate"/>
      </w:r>
      <w:r w:rsidR="00CD6B28" w:rsidRPr="009D6072">
        <w:rPr>
          <w:rFonts w:ascii="Trebuchet MS" w:eastAsia="Arial" w:hAnsi="Trebuchet MS"/>
          <w:sz w:val="22"/>
          <w:szCs w:val="22"/>
          <w:lang w:val="ro-RO"/>
        </w:rPr>
        <w:t>Legii nr. 135/2007</w:t>
      </w:r>
      <w:r w:rsidR="00E5740B">
        <w:rPr>
          <w:rFonts w:ascii="Trebuchet MS" w:eastAsia="Arial" w:hAnsi="Trebuchet MS"/>
          <w:sz w:val="22"/>
          <w:szCs w:val="22"/>
          <w:lang w:val="ro-RO"/>
        </w:rPr>
        <w:fldChar w:fldCharType="end"/>
      </w:r>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w:t>
      </w:r>
      <w:r w:rsidRPr="009D6072">
        <w:rPr>
          <w:rFonts w:ascii="Trebuchet MS" w:eastAsia="Arial" w:hAnsi="Trebuchet MS"/>
          <w:sz w:val="22"/>
          <w:szCs w:val="22"/>
          <w:lang w:val="ro-RO"/>
        </w:rPr>
        <w:lastRenderedPageBreak/>
        <w:t xml:space="preserve">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w:t>
      </w:r>
      <w:r w:rsidRPr="009D6072">
        <w:rPr>
          <w:rFonts w:ascii="Trebuchet MS" w:eastAsia="Arial" w:hAnsi="Trebuchet MS"/>
          <w:sz w:val="22"/>
          <w:szCs w:val="22"/>
          <w:lang w:val="ro-RO"/>
        </w:rPr>
        <w:lastRenderedPageBreak/>
        <w:t xml:space="preserve">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w:t>
      </w:r>
      <w:r w:rsidRPr="009D6072">
        <w:rPr>
          <w:rFonts w:ascii="Trebuchet MS" w:hAnsi="Trebuchet MS"/>
          <w:sz w:val="22"/>
          <w:szCs w:val="24"/>
          <w:lang w:val="ro-RO"/>
        </w:rPr>
        <w:lastRenderedPageBreak/>
        <w:t xml:space="preserve">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lastRenderedPageBreak/>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 xml:space="preserve">solicitării de modificare a contractului </w:t>
      </w:r>
      <w:r w:rsidR="00864B96" w:rsidRPr="009D6072">
        <w:rPr>
          <w:rFonts w:ascii="Trebuchet MS" w:eastAsia="Arial" w:hAnsi="Trebuchet MS"/>
          <w:spacing w:val="-1"/>
          <w:sz w:val="22"/>
          <w:szCs w:val="24"/>
          <w:lang w:val="ro-RO"/>
        </w:rPr>
        <w:lastRenderedPageBreak/>
        <w:t>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w:t>
      </w:r>
      <w:r w:rsidRPr="009D6072">
        <w:rPr>
          <w:rFonts w:ascii="Trebuchet MS" w:eastAsia="Arial" w:hAnsi="Trebuchet MS"/>
          <w:spacing w:val="-1"/>
          <w:sz w:val="22"/>
          <w:szCs w:val="24"/>
          <w:lang w:val="ro-RO"/>
        </w:rPr>
        <w:lastRenderedPageBreak/>
        <w:t xml:space="preserve">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w:t>
      </w:r>
      <w:r w:rsidRPr="009D6072">
        <w:rPr>
          <w:rFonts w:ascii="Trebuchet MS" w:eastAsia="Arial" w:hAnsi="Trebuchet MS"/>
          <w:spacing w:val="-1"/>
          <w:sz w:val="22"/>
          <w:szCs w:val="24"/>
          <w:lang w:val="ro-RO"/>
        </w:rPr>
        <w:lastRenderedPageBreak/>
        <w:t xml:space="preserve">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lastRenderedPageBreak/>
        <w:t>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w:t>
      </w:r>
      <w:r w:rsidR="00556B7E" w:rsidRPr="009D6072">
        <w:rPr>
          <w:rFonts w:ascii="Trebuchet MS" w:hAnsi="Trebuchet MS"/>
          <w:sz w:val="22"/>
          <w:szCs w:val="24"/>
          <w:lang w:val="ro-RO"/>
        </w:rPr>
        <w:lastRenderedPageBreak/>
        <w:t>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w:t>
      </w:r>
      <w:r w:rsidRPr="009D6072">
        <w:rPr>
          <w:rFonts w:ascii="Trebuchet MS" w:eastAsia="Arial" w:hAnsi="Trebuchet MS"/>
          <w:spacing w:val="-1"/>
          <w:sz w:val="22"/>
          <w:szCs w:val="24"/>
          <w:lang w:val="ro-RO"/>
        </w:rPr>
        <w:lastRenderedPageBreak/>
        <w:t>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lastRenderedPageBreak/>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default" r:id="rId8"/>
          <w:footerReference w:type="default" r:id="rId9"/>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B75B" w14:textId="77777777" w:rsidR="00D71317" w:rsidRDefault="00D71317">
      <w:r>
        <w:separator/>
      </w:r>
    </w:p>
  </w:endnote>
  <w:endnote w:type="continuationSeparator" w:id="0">
    <w:p w14:paraId="70E64CF3" w14:textId="77777777" w:rsidR="00D71317" w:rsidRDefault="00D7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2745C29" w:rsidR="008E5C62" w:rsidRDefault="000F186C">
        <w:pPr>
          <w:pStyle w:val="Footer"/>
          <w:jc w:val="center"/>
        </w:pPr>
        <w:r>
          <w:rPr>
            <w:noProof/>
          </w:rPr>
          <w:drawing>
            <wp:inline distT="0" distB="0" distL="0" distR="0" wp14:anchorId="2152C55C" wp14:editId="259C264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008E5C62">
          <w:fldChar w:fldCharType="begin"/>
        </w:r>
        <w:r w:rsidR="008E5C62">
          <w:instrText xml:space="preserve"> PAGE   \* MERGEFORMAT </w:instrText>
        </w:r>
        <w:r w:rsidR="008E5C62">
          <w:fldChar w:fldCharType="separate"/>
        </w:r>
        <w:r w:rsidR="0052060D">
          <w:rPr>
            <w:noProof/>
          </w:rPr>
          <w:t>21</w:t>
        </w:r>
        <w:r w:rsidR="008E5C62">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2735" w14:textId="77777777" w:rsidR="00D71317" w:rsidRDefault="00D71317">
      <w:r>
        <w:separator/>
      </w:r>
    </w:p>
  </w:footnote>
  <w:footnote w:type="continuationSeparator" w:id="0">
    <w:p w14:paraId="206212F1" w14:textId="77777777" w:rsidR="00D71317" w:rsidRDefault="00D71317">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26004" w14:textId="77777777" w:rsidR="000F186C" w:rsidRDefault="000F186C" w:rsidP="000F186C">
    <w:pPr>
      <w:pStyle w:val="Header"/>
      <w:rPr>
        <w:noProof/>
      </w:rPr>
    </w:pPr>
  </w:p>
  <w:p w14:paraId="67AC9A12" w14:textId="7AA1B9D0" w:rsidR="000F186C" w:rsidRPr="000F186C" w:rsidRDefault="000F186C" w:rsidP="000F186C">
    <w:pPr>
      <w:pStyle w:val="Header"/>
    </w:pPr>
    <w:r>
      <w:rPr>
        <w:noProof/>
      </w:rPr>
      <w:drawing>
        <wp:inline distT="0" distB="0" distL="0" distR="0" wp14:anchorId="6DD39F1F" wp14:editId="6A8C60BE">
          <wp:extent cx="573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86C"/>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0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12237</Words>
  <Characters>69753</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2023-08-01T13:17:00Z</dcterms:modified>
</cp:coreProperties>
</file>